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2F37D6">
        <w:rPr>
          <w:rFonts w:ascii="Times New Roman" w:eastAsia="Times New Roman" w:hAnsi="Times New Roman" w:cs="Times New Roman"/>
          <w:b/>
          <w:i/>
          <w:lang w:eastAsia="ar-SA"/>
        </w:rPr>
        <w:t>12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«БЭК»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субподрядными организациями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</w:t>
      </w:r>
      <w:r w:rsidR="006D74BD">
        <w:rPr>
          <w:rFonts w:ascii="Times New Roman" w:eastAsia="Times New Roman" w:hAnsi="Times New Roman" w:cs="Times New Roman"/>
          <w:lang w:eastAsia="ru-RU"/>
        </w:rPr>
        <w:t>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При этом ответственность за ненадлежащее исполнение обязательств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по настоящему Соглашению полностью возлагается на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ом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и/или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действующего законодательства (п.1.1 настоящего соглашения), либо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обязан ознакомить с настоящим Соглашением своих работников, а также привлекаемых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r w:rsidR="00B433F1">
        <w:rPr>
          <w:rFonts w:ascii="Times New Roman" w:eastAsia="Times New Roman" w:hAnsi="Times New Roman" w:cs="Times New Roman"/>
          <w:lang w:eastAsia="ru-RU"/>
        </w:rPr>
        <w:t>Субпо</w:t>
      </w:r>
      <w:r w:rsidR="006D74BD">
        <w:rPr>
          <w:rFonts w:ascii="Times New Roman" w:eastAsia="Times New Roman" w:hAnsi="Times New Roman" w:cs="Times New Roman"/>
          <w:lang w:eastAsia="ru-RU"/>
        </w:rPr>
        <w:t>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АТБ, с последующим уведомлением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В случае привлечения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должны иметь соответствующие документы/удостоверения, а также пропуск на территорию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привлеченные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а также работников </w:t>
      </w:r>
      <w:proofErr w:type="spellStart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привлекаемых 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ом, с требованиями настоящего Соглашения и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5.1.  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привлеченных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5.2. В случае обнаружения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требований АТБ, уполномоченное лицо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правил в области АТБ в месте совершения нарушения или в помещении службы охраны, в присутствии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(в случае допущения нарушения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) составляет Акт о нарушении требований АТБ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. В случае отказа представителя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возмещаются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  <w:bookmarkEnd w:id="5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штрафных санкций производится в течение 10 рабочих дней с момента направления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8.1. Размер штрафных санкций за нарушения, допущенные работниками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а также, в местах расположения основных узлов и механизмов (главный корпус, машинный, 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DB32D1" w:rsidTr="00995074">
              <w:trPr>
                <w:trHeight w:val="250"/>
              </w:trPr>
              <w:tc>
                <w:tcPr>
                  <w:tcW w:w="4920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995074">
              <w:trPr>
                <w:trHeight w:val="646"/>
              </w:trPr>
              <w:tc>
                <w:tcPr>
                  <w:tcW w:w="4920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21" w:type="dxa"/>
                  <w:hideMark/>
                </w:tcPr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29606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995074">
              <w:trPr>
                <w:trHeight w:val="673"/>
              </w:trPr>
              <w:tc>
                <w:tcPr>
                  <w:tcW w:w="4920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92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CE0DB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974AF8" w:rsidP="00974AF8">
            <w:pPr>
              <w:spacing w:after="0"/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№28 от 18.01.2021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_GoBack"/>
            <w:bookmarkEnd w:id="6"/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9A1" w:rsidRDefault="00E209A1" w:rsidP="00493AFB">
      <w:pPr>
        <w:spacing w:after="0" w:line="240" w:lineRule="auto"/>
      </w:pPr>
      <w:r>
        <w:separator/>
      </w:r>
    </w:p>
  </w:endnote>
  <w:endnote w:type="continuationSeparator" w:id="0">
    <w:p w:rsidR="00E209A1" w:rsidRDefault="00E209A1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DB7">
          <w:rPr>
            <w:noProof/>
          </w:rPr>
          <w:t>4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9A1" w:rsidRDefault="00E209A1" w:rsidP="00493AFB">
      <w:pPr>
        <w:spacing w:after="0" w:line="240" w:lineRule="auto"/>
      </w:pPr>
      <w:r>
        <w:separator/>
      </w:r>
    </w:p>
  </w:footnote>
  <w:footnote w:type="continuationSeparator" w:id="0">
    <w:p w:rsidR="00E209A1" w:rsidRDefault="00E209A1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974AF8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овор подряда </w:t>
    </w:r>
    <w:r w:rsidR="00CE0DB7">
      <w:rPr>
        <w:rFonts w:ascii="Times New Roman" w:eastAsia="Times New Roman" w:hAnsi="Times New Roman" w:cs="Times New Roman"/>
        <w:i/>
        <w:sz w:val="20"/>
        <w:szCs w:val="20"/>
        <w:lang w:eastAsia="ru-RU"/>
      </w:rPr>
      <w:t>№104-533-НИТЭЦ-2022-ИО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62BB4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45295"/>
    <w:rsid w:val="000A1C1E"/>
    <w:rsid w:val="000F54DF"/>
    <w:rsid w:val="000F6F09"/>
    <w:rsid w:val="00162BB4"/>
    <w:rsid w:val="00266E27"/>
    <w:rsid w:val="0028461A"/>
    <w:rsid w:val="002849DE"/>
    <w:rsid w:val="00296065"/>
    <w:rsid w:val="002B435F"/>
    <w:rsid w:val="002F37D6"/>
    <w:rsid w:val="00314AAB"/>
    <w:rsid w:val="00362F66"/>
    <w:rsid w:val="00372D30"/>
    <w:rsid w:val="003C3417"/>
    <w:rsid w:val="00460DBC"/>
    <w:rsid w:val="00493AFB"/>
    <w:rsid w:val="004C2D59"/>
    <w:rsid w:val="004F5119"/>
    <w:rsid w:val="00581348"/>
    <w:rsid w:val="005E12C4"/>
    <w:rsid w:val="00676A36"/>
    <w:rsid w:val="006A4F40"/>
    <w:rsid w:val="006D74BD"/>
    <w:rsid w:val="00745940"/>
    <w:rsid w:val="007A35BF"/>
    <w:rsid w:val="00816B4F"/>
    <w:rsid w:val="00931F75"/>
    <w:rsid w:val="009710AE"/>
    <w:rsid w:val="00974AF8"/>
    <w:rsid w:val="00A56684"/>
    <w:rsid w:val="00A974AD"/>
    <w:rsid w:val="00AE1975"/>
    <w:rsid w:val="00AF42D9"/>
    <w:rsid w:val="00B433F1"/>
    <w:rsid w:val="00B56E21"/>
    <w:rsid w:val="00B71EFC"/>
    <w:rsid w:val="00B962F0"/>
    <w:rsid w:val="00BE3BDD"/>
    <w:rsid w:val="00C86692"/>
    <w:rsid w:val="00C95DD1"/>
    <w:rsid w:val="00CC2A3E"/>
    <w:rsid w:val="00CE0DB7"/>
    <w:rsid w:val="00DB32D1"/>
    <w:rsid w:val="00E209A1"/>
    <w:rsid w:val="00E2455E"/>
    <w:rsid w:val="00E5754C"/>
    <w:rsid w:val="00E63B2A"/>
    <w:rsid w:val="00E7391D"/>
    <w:rsid w:val="00EA528D"/>
    <w:rsid w:val="00EB2EC4"/>
    <w:rsid w:val="00EC4494"/>
    <w:rsid w:val="00ED14F9"/>
    <w:rsid w:val="00EF1F84"/>
    <w:rsid w:val="00F64E10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D6E3E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2405</Words>
  <Characters>13714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43</cp:revision>
  <dcterms:created xsi:type="dcterms:W3CDTF">2019-04-11T05:49:00Z</dcterms:created>
  <dcterms:modified xsi:type="dcterms:W3CDTF">2021-12-06T03:42:00Z</dcterms:modified>
</cp:coreProperties>
</file>